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732A9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IFRS 5 NON-CURRENT ASSETS HELD FOR SALE AND DISCONTINUED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732A9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OPERATIONS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IFRS 5 Non-current Assets Held for Sale and Discontinued Operations was issued in March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2004 and is applicable for annual periods beginning on or after 1 January 2005. IFRS 5 was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revised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in May, 08 and the revised standard will be effective for annual periods commencing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or after 1st Jan, 2010.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IFRS 5 prescribes the accounting for assets held for sale, and the presentation and disclosure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discontinued operations. The measurement provisions of IFRS 5 apply to all non-current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assets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and disposal groups, except for: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deferred tax assets (IAS 12 Income Taxes);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assets arising from employee benefits (IAS 19 Employee Benefits);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financial assets within the scope of IAS 39 Financial Instruments: Recognition and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Measurement;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non-current assets that are accounted for in accordance with the fair value model in IAS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40 Investment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Property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>;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non-current assets that are measured at fair value less estimated point-of-sale costs in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accordance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with IAS 41 Agriculture; and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contractual rights under insurance contracts as defined in IFRS 4 Insurance Contracts.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732A9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The objective of this IFRS is to specify the accounting for assets held for sale, and the presentation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disclosure of discontinued operations. In particular, the IFRS requires: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(a)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assets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that meet the criteria to be classified as held for sale to be measured at the lower of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carrying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amount and fair value less costs to sell, and depreciation on such assets to cease;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an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asset classified as held for sale and the assets and liabilities included within a disposal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group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classified as held for sale to be presented separately in the statement of financial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position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>; (c) the results of discontinued operations to be presented separately in the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statement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of comprehensive income.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The IFRS: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(a)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adopts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the classification ‘held for sale’.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732A9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732A9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2.86 Financial Reporting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introduces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the concept of a disposal group, being a group of assets to be disposed of, by sale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lastRenderedPageBreak/>
        <w:t>or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otherwise, together as a group in a single transaction, and liabilities directly associated with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those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assets that will be transferred in the transaction.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(c)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classifies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an operation as discontinued at the date the operation meets the criteria to be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classified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as held for sale or when the entity has disposed of the operation.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An entity shall classify a non-current asset (or disposal group) as held for sale if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its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carrying amount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will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be recovered principally through a sale transaction rather than through continuing use.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For this to be the case, the asset (or disposal group) must be available for immediate sale in its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present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condition subject only to terms that are usual and customary for sales of such assets (or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disposal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groups) and its sale must be </w:t>
      </w:r>
      <w:r w:rsidRPr="00732A9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highly probable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For the sale to be highly probable, the appropriate level of management must be committed to a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plan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to sell the asset (or disposal group), and an active </w:t>
      </w:r>
      <w:proofErr w:type="spellStart"/>
      <w:r w:rsidRPr="00732A90">
        <w:rPr>
          <w:rFonts w:ascii="Arial Narrow" w:hAnsi="Arial Narrow" w:cs="Arial Narrow"/>
          <w:color w:val="000000"/>
          <w:sz w:val="28"/>
          <w:szCs w:val="28"/>
        </w:rPr>
        <w:t>programme</w:t>
      </w:r>
      <w:proofErr w:type="spell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to locate a buyer and complete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plan must have been initiated. Further, the asset (or disposal group) must be actively marketed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sale at a price that is reasonable in relation to its current fair value. In addition, the sale should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be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expected to qualify for recognition as a completed sale within one year from the date of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classification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>, except as permitted by paragraph 9, and actions required to complete the plan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indicate that it is unlikely that significant changes to the plan will be made or that the plan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will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be withdrawn.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A discontinued operation is a component of an entity that either has been disposed of, or is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classified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as held for sale, and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(a)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represents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 separate major line of business or geographical area of operations,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part of a single co-</w:t>
      </w:r>
      <w:proofErr w:type="spellStart"/>
      <w:r w:rsidRPr="00732A90">
        <w:rPr>
          <w:rFonts w:ascii="Arial Narrow" w:hAnsi="Arial Narrow" w:cs="Arial Narrow"/>
          <w:color w:val="000000"/>
          <w:sz w:val="28"/>
          <w:szCs w:val="28"/>
        </w:rPr>
        <w:t>ordinated</w:t>
      </w:r>
      <w:proofErr w:type="spell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plan to dispose of a separate major line of business or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geographical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area of operations or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(c)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 subsidiary acquired exclusively with a view to resale.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A component of an entity comprises operations and cash flows that can be clearly distinguished,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operationally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and for financial reporting purposes, from the rest of the entity. In other words, a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component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of an entity will have been a cash-generating unit or a group of cash-generating units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while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being held for use.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lastRenderedPageBreak/>
        <w:t>An entity shall not classify as held for sale a non-current asset (or disposal group) that is to be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abandoned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Arial Narrow" w:hAnsi="Arial Narrow" w:cs="Arial Narrow"/>
          <w:color w:val="000000"/>
          <w:sz w:val="28"/>
          <w:szCs w:val="28"/>
        </w:rPr>
        <w:t>This is because its carrying amount will be recovered principally through continuing use.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732A90">
        <w:rPr>
          <w:rFonts w:ascii="Symbol" w:hAnsi="Symbol" w:cs="Symbol"/>
          <w:color w:val="000000"/>
          <w:sz w:val="28"/>
          <w:szCs w:val="28"/>
        </w:rPr>
        <w:t>♦</w:t>
      </w:r>
      <w:r w:rsidRPr="00732A90">
        <w:rPr>
          <w:rFonts w:ascii="Symbol" w:hAnsi="Symbol" w:cs="Symbol"/>
          <w:color w:val="000000"/>
          <w:sz w:val="28"/>
          <w:szCs w:val="28"/>
        </w:rPr>
        <w:t></w:t>
      </w:r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Assets held for sale </w:t>
      </w: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A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non-current asset (or disposal group) is classified as held for sale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732A90">
        <w:rPr>
          <w:rFonts w:ascii="Arial Narrow" w:hAnsi="Arial Narrow" w:cs="Arial Narrow"/>
          <w:color w:val="000000"/>
          <w:sz w:val="28"/>
          <w:szCs w:val="28"/>
        </w:rPr>
        <w:t>if</w:t>
      </w:r>
      <w:proofErr w:type="gramEnd"/>
      <w:r w:rsidRPr="00732A90">
        <w:rPr>
          <w:rFonts w:ascii="Arial Narrow" w:hAnsi="Arial Narrow" w:cs="Arial Narrow"/>
          <w:color w:val="000000"/>
          <w:sz w:val="28"/>
          <w:szCs w:val="28"/>
        </w:rPr>
        <w:t xml:space="preserve"> its</w:t>
      </w:r>
    </w:p>
    <w:p w:rsidR="00732A90" w:rsidRPr="00732A90" w:rsidRDefault="00732A90" w:rsidP="00732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732A9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000000" w:rsidRPr="00732A90" w:rsidRDefault="00732A90">
      <w:pPr>
        <w:rPr>
          <w:sz w:val="28"/>
          <w:szCs w:val="28"/>
        </w:rPr>
      </w:pPr>
    </w:p>
    <w:sectPr w:rsidR="00000000" w:rsidRPr="00732A90" w:rsidSect="00ED3FB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2A90"/>
    <w:rsid w:val="0073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2011-02-02T15:03:00Z</dcterms:created>
  <dcterms:modified xsi:type="dcterms:W3CDTF">2011-02-02T15:03:00Z</dcterms:modified>
</cp:coreProperties>
</file>